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123C16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B10C61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C6787B">
              <w:t>0</w:t>
            </w:r>
            <w:r w:rsidR="00B10C61">
              <w:t>4</w:t>
            </w:r>
            <w:r w:rsidRPr="00F7753F">
              <w:t>.</w:t>
            </w:r>
            <w:r w:rsidR="00C6787B">
              <w:t>0</w:t>
            </w:r>
            <w:r w:rsidR="00B10C61">
              <w:t>5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B10C61">
              <w:t>205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123C16">
        <w:rPr>
          <w:b/>
          <w:u w:val="single"/>
        </w:rPr>
        <w:t>июня</w:t>
      </w:r>
      <w:bookmarkStart w:id="0" w:name="_GoBack"/>
      <w:bookmarkEnd w:id="0"/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B10C61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B10C61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9061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B10C61" w:rsidP="00C6787B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23</cp:revision>
  <dcterms:created xsi:type="dcterms:W3CDTF">2017-07-19T10:13:00Z</dcterms:created>
  <dcterms:modified xsi:type="dcterms:W3CDTF">2018-06-02T11:08:00Z</dcterms:modified>
</cp:coreProperties>
</file>