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11701E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11701E">
              <w:t>06</w:t>
            </w:r>
            <w:r w:rsidR="00EA5FDF">
              <w:t>.0</w:t>
            </w:r>
            <w:r w:rsidR="0011701E">
              <w:t>5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11701E">
              <w:t>223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11701E">
        <w:rPr>
          <w:b/>
          <w:u w:val="single"/>
        </w:rPr>
        <w:t xml:space="preserve">мая </w:t>
      </w:r>
      <w:r w:rsidR="007C7957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50</cp:revision>
  <cp:lastPrinted>2019-03-01T11:51:00Z</cp:lastPrinted>
  <dcterms:created xsi:type="dcterms:W3CDTF">2017-07-19T10:13:00Z</dcterms:created>
  <dcterms:modified xsi:type="dcterms:W3CDTF">2019-05-06T06:20:00Z</dcterms:modified>
</cp:coreProperties>
</file>